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96DD3A2" w:rsidR="00A209D6" w:rsidRPr="00B266B0" w:rsidRDefault="00A209D6" w:rsidP="3CF91F38">
      <w:pPr>
        <w:pStyle w:val="Header"/>
        <w:tabs>
          <w:tab w:val="right" w:pos="9639"/>
        </w:tabs>
        <w:rPr>
          <w:noProof w:val="0"/>
          <w:sz w:val="24"/>
          <w:szCs w:val="24"/>
        </w:rPr>
      </w:pPr>
      <w:r w:rsidRPr="3CF91F38">
        <w:rPr>
          <w:noProof w:val="0"/>
          <w:sz w:val="24"/>
          <w:szCs w:val="24"/>
        </w:rPr>
        <w:t>3GPP TSG-RAN WG</w:t>
      </w:r>
      <w:r w:rsidR="002D2D48" w:rsidRPr="3CF91F38">
        <w:rPr>
          <w:noProof w:val="0"/>
          <w:sz w:val="24"/>
          <w:szCs w:val="24"/>
        </w:rPr>
        <w:t>3</w:t>
      </w:r>
      <w:r w:rsidRPr="3CF91F38">
        <w:rPr>
          <w:noProof w:val="0"/>
          <w:sz w:val="24"/>
          <w:szCs w:val="24"/>
        </w:rPr>
        <w:t xml:space="preserve"> Meeting #1</w:t>
      </w:r>
      <w:r w:rsidR="006B3EB3" w:rsidRPr="3CF91F38">
        <w:rPr>
          <w:noProof w:val="0"/>
          <w:sz w:val="24"/>
          <w:szCs w:val="24"/>
        </w:rPr>
        <w:t>1</w:t>
      </w:r>
      <w:r w:rsidR="00AD7D98">
        <w:rPr>
          <w:noProof w:val="0"/>
          <w:sz w:val="24"/>
          <w:szCs w:val="24"/>
        </w:rPr>
        <w:t>2</w:t>
      </w:r>
      <w:r w:rsidR="004402A7" w:rsidRPr="3CF91F38">
        <w:rPr>
          <w:noProof w:val="0"/>
          <w:sz w:val="24"/>
          <w:szCs w:val="24"/>
        </w:rPr>
        <w:t>-e</w:t>
      </w:r>
      <w:r>
        <w:tab/>
      </w:r>
      <w:r w:rsidR="007D5919" w:rsidRPr="3CF91F38">
        <w:rPr>
          <w:noProof w:val="0"/>
          <w:sz w:val="24"/>
          <w:szCs w:val="24"/>
        </w:rPr>
        <w:t>R3-2</w:t>
      </w:r>
      <w:r w:rsidR="4D59376C" w:rsidRPr="3CF91F38">
        <w:rPr>
          <w:noProof w:val="0"/>
          <w:sz w:val="24"/>
          <w:szCs w:val="24"/>
        </w:rPr>
        <w:t>1</w:t>
      </w:r>
      <w:r w:rsidR="003923EA">
        <w:rPr>
          <w:noProof w:val="0"/>
          <w:sz w:val="24"/>
          <w:szCs w:val="24"/>
        </w:rPr>
        <w:t>1894</w:t>
      </w:r>
    </w:p>
    <w:p w14:paraId="2E02E5F5" w14:textId="29B1736E" w:rsidR="00A209D6" w:rsidRPr="00B266B0" w:rsidRDefault="001B62DB" w:rsidP="00A209D6">
      <w:pPr>
        <w:pStyle w:val="Header"/>
        <w:rPr>
          <w:bCs/>
          <w:noProof w:val="0"/>
          <w:sz w:val="24"/>
        </w:rPr>
      </w:pPr>
      <w:r>
        <w:rPr>
          <w:rFonts w:eastAsia="宋体"/>
          <w:bCs/>
          <w:sz w:val="24"/>
          <w:szCs w:val="24"/>
          <w:lang w:eastAsia="zh-CN"/>
        </w:rPr>
        <w:t>17</w:t>
      </w:r>
      <w:r w:rsidR="00DF179D">
        <w:rPr>
          <w:rFonts w:eastAsia="宋体"/>
          <w:bCs/>
          <w:sz w:val="24"/>
          <w:szCs w:val="24"/>
          <w:lang w:eastAsia="zh-CN"/>
        </w:rPr>
        <w:t xml:space="preserve"> – </w:t>
      </w:r>
      <w:r>
        <w:rPr>
          <w:rFonts w:eastAsia="宋体"/>
          <w:bCs/>
          <w:sz w:val="24"/>
          <w:szCs w:val="24"/>
          <w:lang w:eastAsia="zh-CN"/>
        </w:rPr>
        <w:t>28</w:t>
      </w:r>
      <w:r w:rsidR="00DF179D">
        <w:rPr>
          <w:rFonts w:eastAsia="宋体"/>
          <w:bCs/>
          <w:sz w:val="24"/>
          <w:szCs w:val="24"/>
          <w:lang w:eastAsia="zh-CN"/>
        </w:rPr>
        <w:t xml:space="preserve"> </w:t>
      </w:r>
      <w:r>
        <w:rPr>
          <w:rFonts w:eastAsia="宋体"/>
          <w:bCs/>
          <w:sz w:val="24"/>
          <w:szCs w:val="24"/>
          <w:lang w:eastAsia="zh-CN"/>
        </w:rPr>
        <w:t>Ma</w:t>
      </w:r>
      <w:r w:rsidR="00DF179D">
        <w:rPr>
          <w:rFonts w:eastAsia="宋体"/>
          <w:bCs/>
          <w:sz w:val="24"/>
          <w:szCs w:val="24"/>
          <w:lang w:eastAsia="zh-CN"/>
        </w:rPr>
        <w:t>y</w:t>
      </w:r>
      <w:r w:rsidR="006B3EB3">
        <w:rPr>
          <w:rFonts w:eastAsia="宋体"/>
          <w:bCs/>
          <w:sz w:val="24"/>
          <w:szCs w:val="24"/>
          <w:lang w:eastAsia="zh-CN"/>
        </w:rPr>
        <w:t>, 202</w:t>
      </w:r>
      <w:r w:rsidR="00DF179D">
        <w:rPr>
          <w:rFonts w:eastAsia="宋体"/>
          <w:bCs/>
          <w:sz w:val="24"/>
          <w:szCs w:val="24"/>
          <w:lang w:eastAsia="zh-CN"/>
        </w:rPr>
        <w:t>1</w:t>
      </w:r>
      <w:r w:rsidR="004402A7" w:rsidRPr="004402A7">
        <w:rPr>
          <w:rFonts w:eastAsia="宋体"/>
          <w:bCs/>
          <w:sz w:val="24"/>
          <w:szCs w:val="24"/>
          <w:lang w:eastAsia="zh-CN"/>
        </w:rPr>
        <w:t xml:space="preserve">  </w:t>
      </w:r>
    </w:p>
    <w:p w14:paraId="403CB9C0" w14:textId="77777777" w:rsidR="00A209D6" w:rsidRPr="00B266B0" w:rsidRDefault="00A209D6" w:rsidP="00A209D6">
      <w:pPr>
        <w:pStyle w:val="Header"/>
        <w:rPr>
          <w:bCs/>
          <w:noProof w:val="0"/>
          <w:sz w:val="24"/>
        </w:rPr>
      </w:pPr>
    </w:p>
    <w:p w14:paraId="74AEDB1B" w14:textId="26D211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75A2">
        <w:rPr>
          <w:rFonts w:cs="Arial"/>
          <w:b/>
          <w:bCs/>
          <w:sz w:val="24"/>
          <w:lang w:eastAsia="ja-JP"/>
        </w:rPr>
        <w:t>13.3.1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1744172" w:rsidR="00A209D6" w:rsidRDefault="00A209D6" w:rsidP="5410C459">
      <w:pPr>
        <w:ind w:left="1985" w:hanging="1985"/>
        <w:rPr>
          <w:rFonts w:ascii="Arial" w:hAnsi="Arial" w:cs="Arial"/>
          <w:b/>
          <w:bCs/>
          <w:sz w:val="24"/>
          <w:szCs w:val="24"/>
        </w:rPr>
      </w:pPr>
      <w:r w:rsidRPr="5410C459">
        <w:rPr>
          <w:rFonts w:ascii="Arial" w:hAnsi="Arial" w:cs="Arial"/>
          <w:b/>
          <w:bCs/>
          <w:sz w:val="24"/>
          <w:szCs w:val="24"/>
        </w:rPr>
        <w:t>Title:</w:t>
      </w:r>
      <w:r>
        <w:tab/>
      </w:r>
      <w:r w:rsidR="002C693F" w:rsidRPr="5410C459">
        <w:rPr>
          <w:rFonts w:ascii="Arial" w:hAnsi="Arial" w:cs="Arial"/>
          <w:b/>
          <w:bCs/>
          <w:sz w:val="24"/>
          <w:szCs w:val="24"/>
        </w:rPr>
        <w:t>Congestion mitigation</w:t>
      </w:r>
      <w:r w:rsidR="001B62DB">
        <w:rPr>
          <w:rFonts w:ascii="Arial" w:hAnsi="Arial" w:cs="Arial"/>
          <w:b/>
          <w:bCs/>
          <w:sz w:val="24"/>
          <w:szCs w:val="24"/>
        </w:rPr>
        <w:t xml:space="preserve"> continued</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47BFFE4" w14:textId="4D28137E" w:rsidR="00645591" w:rsidRDefault="00645591" w:rsidP="00A209D6">
      <w:r>
        <w:t xml:space="preserve">On </w:t>
      </w:r>
      <w:r w:rsidR="006A13C1">
        <w:t>C-plane</w:t>
      </w:r>
      <w:r w:rsidR="00880911">
        <w:t>-</w:t>
      </w:r>
      <w:r w:rsidR="006A13C1">
        <w:t xml:space="preserve"> and U-plane</w:t>
      </w:r>
      <w:r w:rsidR="00880911">
        <w:t>-based</w:t>
      </w:r>
      <w:r w:rsidR="006A13C1">
        <w:t xml:space="preserve"> congestion mitigation</w:t>
      </w:r>
      <w:r w:rsidR="00D545B4">
        <w:t>, RAN3#111 agreed the following.</w:t>
      </w:r>
    </w:p>
    <w:p w14:paraId="5E87F1A5" w14:textId="2E25B980" w:rsidR="00D545B4" w:rsidRPr="00BF1922" w:rsidRDefault="00D545B4" w:rsidP="00D545B4">
      <w:pPr>
        <w:widowControl w:val="0"/>
        <w:ind w:left="144" w:hanging="144"/>
        <w:rPr>
          <w:rFonts w:ascii="Calibri" w:hAnsi="Calibri" w:cs="Calibri"/>
          <w:b/>
          <w:bCs/>
          <w:color w:val="00B050"/>
          <w:sz w:val="18"/>
          <w:szCs w:val="24"/>
        </w:rPr>
      </w:pPr>
      <w:r w:rsidRPr="00BF1922">
        <w:rPr>
          <w:rFonts w:ascii="Calibri" w:hAnsi="Calibri" w:cs="Calibri"/>
          <w:b/>
          <w:bCs/>
          <w:color w:val="00B050"/>
          <w:sz w:val="18"/>
          <w:szCs w:val="24"/>
        </w:rPr>
        <w:t>The CP-based congestion indication may contain reporting:</w:t>
      </w:r>
      <w:r>
        <w:rPr>
          <w:rFonts w:ascii="Calibri" w:hAnsi="Calibri" w:cs="Calibri"/>
          <w:b/>
          <w:bCs/>
          <w:color w:val="00B050"/>
          <w:sz w:val="18"/>
          <w:szCs w:val="24"/>
        </w:rPr>
        <w:br/>
      </w:r>
      <w:r w:rsidRPr="00BF1922">
        <w:rPr>
          <w:rFonts w:ascii="Calibri" w:hAnsi="Calibri" w:cs="Calibri"/>
          <w:b/>
          <w:bCs/>
          <w:color w:val="00B050"/>
          <w:sz w:val="18"/>
          <w:szCs w:val="24"/>
        </w:rPr>
        <w:t>- per BAP routing ID and/or</w:t>
      </w:r>
      <w:r>
        <w:rPr>
          <w:rFonts w:ascii="Calibri" w:hAnsi="Calibri" w:cs="Calibri"/>
          <w:b/>
          <w:bCs/>
          <w:color w:val="00B050"/>
          <w:sz w:val="18"/>
          <w:szCs w:val="24"/>
        </w:rPr>
        <w:br/>
      </w:r>
      <w:r w:rsidRPr="00BF1922">
        <w:rPr>
          <w:rFonts w:ascii="Calibri" w:hAnsi="Calibri" w:cs="Calibri"/>
          <w:b/>
          <w:bCs/>
          <w:color w:val="00B050"/>
          <w:sz w:val="18"/>
          <w:szCs w:val="24"/>
        </w:rPr>
        <w:t>- per child link and/or</w:t>
      </w:r>
      <w:r>
        <w:rPr>
          <w:rFonts w:ascii="Calibri" w:hAnsi="Calibri" w:cs="Calibri"/>
          <w:b/>
          <w:bCs/>
          <w:color w:val="00B050"/>
          <w:sz w:val="18"/>
          <w:szCs w:val="24"/>
        </w:rPr>
        <w:br/>
      </w:r>
      <w:r w:rsidRPr="00BF1922">
        <w:rPr>
          <w:rFonts w:ascii="Calibri" w:hAnsi="Calibri" w:cs="Calibri"/>
          <w:b/>
          <w:bCs/>
          <w:color w:val="00B050"/>
          <w:sz w:val="18"/>
          <w:szCs w:val="24"/>
        </w:rPr>
        <w:t>- BH RLC CH ID</w:t>
      </w:r>
      <w:r>
        <w:rPr>
          <w:rFonts w:ascii="Calibri" w:hAnsi="Calibri" w:cs="Calibri"/>
          <w:b/>
          <w:bCs/>
          <w:color w:val="00B050"/>
          <w:sz w:val="18"/>
          <w:szCs w:val="24"/>
        </w:rPr>
        <w:br/>
      </w:r>
      <w:r w:rsidRPr="00BF1922">
        <w:rPr>
          <w:rFonts w:ascii="Calibri" w:hAnsi="Calibri" w:cs="Calibri"/>
          <w:b/>
          <w:bCs/>
          <w:color w:val="00B050"/>
          <w:sz w:val="18"/>
          <w:szCs w:val="24"/>
        </w:rPr>
        <w:t>(</w:t>
      </w:r>
      <w:proofErr w:type="spellStart"/>
      <w:r w:rsidRPr="00BF1922">
        <w:rPr>
          <w:rFonts w:ascii="Calibri" w:hAnsi="Calibri" w:cs="Calibri"/>
          <w:b/>
          <w:bCs/>
          <w:color w:val="00B050"/>
          <w:sz w:val="18"/>
          <w:szCs w:val="24"/>
        </w:rPr>
        <w:t>downselection</w:t>
      </w:r>
      <w:proofErr w:type="spellEnd"/>
      <w:r w:rsidRPr="00BF1922">
        <w:rPr>
          <w:rFonts w:ascii="Calibri" w:hAnsi="Calibri" w:cs="Calibri"/>
          <w:b/>
          <w:bCs/>
          <w:color w:val="00B050"/>
          <w:sz w:val="18"/>
          <w:szCs w:val="24"/>
        </w:rPr>
        <w:t xml:space="preserve"> is FFS).</w:t>
      </w:r>
    </w:p>
    <w:p w14:paraId="1550FC64" w14:textId="2D8A7CE7" w:rsidR="00D545B4" w:rsidRPr="00BF1922" w:rsidRDefault="00D545B4" w:rsidP="00D545B4">
      <w:pPr>
        <w:widowControl w:val="0"/>
        <w:ind w:left="144" w:hanging="144"/>
        <w:rPr>
          <w:rFonts w:ascii="Calibri" w:hAnsi="Calibri" w:cs="Calibri"/>
          <w:b/>
          <w:bCs/>
          <w:color w:val="00B050"/>
          <w:sz w:val="18"/>
          <w:szCs w:val="24"/>
        </w:rPr>
      </w:pPr>
      <w:r w:rsidRPr="00BF1922">
        <w:rPr>
          <w:rFonts w:ascii="Calibri" w:hAnsi="Calibri" w:cs="Calibri"/>
          <w:b/>
          <w:bCs/>
          <w:color w:val="00B050"/>
          <w:sz w:val="18"/>
          <w:szCs w:val="24"/>
        </w:rPr>
        <w:t>The CP-based congestion indication reuses the F1AP GNB-DU Status Indication procedure.</w:t>
      </w:r>
      <w:r>
        <w:rPr>
          <w:rFonts w:ascii="Calibri" w:hAnsi="Calibri" w:cs="Calibri"/>
          <w:b/>
          <w:bCs/>
          <w:color w:val="00B050"/>
          <w:sz w:val="18"/>
          <w:szCs w:val="24"/>
        </w:rPr>
        <w:br/>
      </w:r>
      <w:r w:rsidRPr="00BF1922">
        <w:rPr>
          <w:rFonts w:ascii="Calibri" w:hAnsi="Calibri" w:cs="Calibri"/>
          <w:b/>
          <w:bCs/>
          <w:color w:val="00B050"/>
          <w:sz w:val="18"/>
          <w:szCs w:val="24"/>
        </w:rPr>
        <w:t>The CP-based congestion indication pertains to DL congestion.</w:t>
      </w:r>
    </w:p>
    <w:p w14:paraId="7FABF571" w14:textId="3A217CF0" w:rsidR="00D545B4" w:rsidRPr="00BF1922" w:rsidRDefault="00D545B4" w:rsidP="00D545B4">
      <w:pPr>
        <w:widowControl w:val="0"/>
        <w:ind w:left="144" w:hanging="144"/>
        <w:rPr>
          <w:rFonts w:ascii="Calibri" w:hAnsi="Calibri" w:cs="Calibri"/>
          <w:b/>
          <w:bCs/>
          <w:color w:val="00B050"/>
          <w:sz w:val="18"/>
          <w:szCs w:val="24"/>
        </w:rPr>
      </w:pPr>
      <w:r w:rsidRPr="00BF1922">
        <w:rPr>
          <w:rFonts w:ascii="Calibri" w:hAnsi="Calibri" w:cs="Calibri"/>
          <w:b/>
          <w:bCs/>
          <w:color w:val="00B050"/>
          <w:sz w:val="18"/>
          <w:szCs w:val="24"/>
        </w:rPr>
        <w:t>Consider the following two options for the UP-based approach to IAB congestion mitigation:</w:t>
      </w:r>
      <w:r>
        <w:rPr>
          <w:rFonts w:ascii="Calibri" w:hAnsi="Calibri" w:cs="Calibri"/>
          <w:b/>
          <w:bCs/>
          <w:color w:val="00B050"/>
          <w:sz w:val="18"/>
          <w:szCs w:val="24"/>
        </w:rPr>
        <w:br/>
      </w:r>
      <w:r w:rsidRPr="00BF1922">
        <w:rPr>
          <w:rFonts w:ascii="Calibri" w:hAnsi="Calibri" w:cs="Calibri"/>
          <w:b/>
          <w:bCs/>
          <w:color w:val="00B050"/>
          <w:sz w:val="18"/>
          <w:szCs w:val="24"/>
        </w:rPr>
        <w:t>- No enhancements;</w:t>
      </w:r>
      <w:r>
        <w:rPr>
          <w:rFonts w:ascii="Calibri" w:hAnsi="Calibri" w:cs="Calibri"/>
          <w:b/>
          <w:bCs/>
          <w:color w:val="00B050"/>
          <w:sz w:val="18"/>
          <w:szCs w:val="24"/>
        </w:rPr>
        <w:br/>
      </w:r>
      <w:r w:rsidRPr="00BF1922">
        <w:rPr>
          <w:rFonts w:ascii="Calibri" w:hAnsi="Calibri" w:cs="Calibri"/>
          <w:b/>
          <w:bCs/>
          <w:color w:val="00B050"/>
          <w:sz w:val="18"/>
          <w:szCs w:val="24"/>
        </w:rPr>
        <w:t>- Packet marking-based approach.</w:t>
      </w:r>
    </w:p>
    <w:p w14:paraId="184F5FB4" w14:textId="5BFCAE85" w:rsidR="00D545B4" w:rsidRDefault="00D545B4" w:rsidP="00A209D6">
      <w:r>
        <w:t>This contribution continues the discussion.</w:t>
      </w:r>
    </w:p>
    <w:p w14:paraId="2BBFF540" w14:textId="2A894C8D" w:rsidR="00A209D6" w:rsidRDefault="00A209D6" w:rsidP="00A209D6">
      <w:pPr>
        <w:pStyle w:val="Heading1"/>
      </w:pPr>
      <w:r w:rsidRPr="006E13D1">
        <w:t>2</w:t>
      </w:r>
      <w:r w:rsidRPr="006E13D1">
        <w:tab/>
      </w:r>
      <w:r w:rsidR="00E86760">
        <w:t>Discussion</w:t>
      </w:r>
    </w:p>
    <w:p w14:paraId="67B57CC1" w14:textId="648687D9" w:rsidR="00E86760" w:rsidRPr="00E86760" w:rsidRDefault="00E86760" w:rsidP="00E86760">
      <w:pPr>
        <w:pStyle w:val="Heading2"/>
      </w:pPr>
      <w:r>
        <w:t>2</w:t>
      </w:r>
      <w:r w:rsidRPr="006E13D1">
        <w:t>.</w:t>
      </w:r>
      <w:r w:rsidR="00572351">
        <w:t>1</w:t>
      </w:r>
      <w:r w:rsidRPr="006E13D1">
        <w:tab/>
      </w:r>
      <w:r>
        <w:t>C</w:t>
      </w:r>
      <w:r w:rsidRPr="00E86760">
        <w:t>-plane-based congestion mitigation</w:t>
      </w:r>
    </w:p>
    <w:p w14:paraId="0537039A" w14:textId="7CFF7FEF" w:rsidR="00236469" w:rsidRDefault="00ED36FD" w:rsidP="00E86760">
      <w:r>
        <w:t>There seem to be two possible cases of (downlink) congestion:</w:t>
      </w:r>
    </w:p>
    <w:p w14:paraId="002336A0" w14:textId="7083DED7" w:rsidR="00ED36FD" w:rsidRDefault="006A0770" w:rsidP="00ED36FD">
      <w:pPr>
        <w:pStyle w:val="ListParagraph"/>
        <w:numPr>
          <w:ilvl w:val="0"/>
          <w:numId w:val="13"/>
        </w:numPr>
      </w:pPr>
      <w:r>
        <w:t>Meeting t</w:t>
      </w:r>
      <w:r w:rsidR="00ED36FD">
        <w:t>he Qo</w:t>
      </w:r>
      <w:r>
        <w:t>S</w:t>
      </w:r>
      <w:r w:rsidR="00ED36FD">
        <w:t xml:space="preserve"> requirement</w:t>
      </w:r>
      <w:r>
        <w:t>s</w:t>
      </w:r>
      <w:r w:rsidR="00ED36FD">
        <w:t xml:space="preserve"> </w:t>
      </w:r>
      <w:r>
        <w:t>(</w:t>
      </w:r>
      <w:r w:rsidR="00A12EBC">
        <w:t xml:space="preserve">e.g. </w:t>
      </w:r>
      <w:r>
        <w:t xml:space="preserve">GBR or delay) </w:t>
      </w:r>
      <w:r w:rsidR="00ED36FD">
        <w:t xml:space="preserve">set to </w:t>
      </w:r>
      <w:r>
        <w:t>a BH</w:t>
      </w:r>
      <w:r w:rsidR="00ED36FD">
        <w:t xml:space="preserve"> RLC channel</w:t>
      </w:r>
      <w:r>
        <w:t xml:space="preserve"> are at risk</w:t>
      </w:r>
      <w:r w:rsidR="00ED36FD">
        <w:t>;</w:t>
      </w:r>
    </w:p>
    <w:p w14:paraId="1A074045" w14:textId="41FC57D3" w:rsidR="00ED36FD" w:rsidRDefault="00ED36FD" w:rsidP="00ED36FD">
      <w:pPr>
        <w:pStyle w:val="ListParagraph"/>
        <w:numPr>
          <w:ilvl w:val="0"/>
          <w:numId w:val="13"/>
        </w:numPr>
      </w:pPr>
      <w:r>
        <w:t xml:space="preserve">The combined size of downlink </w:t>
      </w:r>
      <w:proofErr w:type="gramStart"/>
      <w:r>
        <w:t>transmit</w:t>
      </w:r>
      <w:proofErr w:type="gramEnd"/>
      <w:r>
        <w:t xml:space="preserve"> buffers of an IAB node risk exceeding the node’s memory resources.</w:t>
      </w:r>
    </w:p>
    <w:p w14:paraId="08C2015D" w14:textId="32FAA09D" w:rsidR="00ED36FD" w:rsidRDefault="00ED36FD" w:rsidP="00ED36FD">
      <w:r>
        <w:t xml:space="preserve">Only in case 1 can the congestion be attributed </w:t>
      </w:r>
      <w:r w:rsidR="00A12EBC">
        <w:t xml:space="preserve">directly </w:t>
      </w:r>
      <w:r>
        <w:t>to a specific backhaul link, which is what the CP-based congestion mitigation is about.</w:t>
      </w:r>
    </w:p>
    <w:p w14:paraId="38C345F7" w14:textId="3262B75E" w:rsidR="00ED36FD" w:rsidRDefault="00ED36FD" w:rsidP="00ED36FD">
      <w:pPr>
        <w:ind w:left="1704" w:hanging="1424"/>
      </w:pPr>
      <w:r w:rsidRPr="00ED36FD">
        <w:rPr>
          <w:b/>
        </w:rPr>
        <w:t>Observation 1</w:t>
      </w:r>
      <w:r>
        <w:t>:</w:t>
      </w:r>
      <w:r>
        <w:tab/>
        <w:t xml:space="preserve">The </w:t>
      </w:r>
      <w:r w:rsidR="006A0770">
        <w:t>case</w:t>
      </w:r>
      <w:r>
        <w:t xml:space="preserve"> of congestion addressed by CP-based congestion mitigation is one where </w:t>
      </w:r>
      <w:r w:rsidR="006A0770">
        <w:t>meeting the QoS requirements (</w:t>
      </w:r>
      <w:r w:rsidR="00A12EBC">
        <w:t xml:space="preserve">e.g. </w:t>
      </w:r>
      <w:r w:rsidR="006A0770">
        <w:t>GBR or delay) set to a BH RLC channel are at risk</w:t>
      </w:r>
      <w:r>
        <w:t>.</w:t>
      </w:r>
    </w:p>
    <w:p w14:paraId="42D37AF6" w14:textId="34F63C82" w:rsidR="008812D3" w:rsidRDefault="008812D3" w:rsidP="008812D3">
      <w:proofErr w:type="gramStart"/>
      <w:r>
        <w:t>With this in mind, it</w:t>
      </w:r>
      <w:proofErr w:type="gramEnd"/>
      <w:r>
        <w:t xml:space="preserve"> is unclear what exactly </w:t>
      </w:r>
      <w:r w:rsidR="006A0770">
        <w:t>congestion reporting per child link, or per BAP Routing ID, would mean:</w:t>
      </w:r>
    </w:p>
    <w:p w14:paraId="657C0BDC" w14:textId="0C9F3160" w:rsidR="006A0770" w:rsidRDefault="006A0770" w:rsidP="006A0770">
      <w:pPr>
        <w:pStyle w:val="ListParagraph"/>
        <w:numPr>
          <w:ilvl w:val="0"/>
          <w:numId w:val="14"/>
        </w:numPr>
      </w:pPr>
      <w:r>
        <w:t xml:space="preserve">On a given </w:t>
      </w:r>
      <w:r w:rsidRPr="006A0770">
        <w:rPr>
          <w:b/>
        </w:rPr>
        <w:t>child link</w:t>
      </w:r>
      <w:r>
        <w:t>, some BH RLC channels can be congested while others are not;</w:t>
      </w:r>
    </w:p>
    <w:p w14:paraId="5235F230" w14:textId="4DA0B0C0" w:rsidR="006A0770" w:rsidRDefault="006A0770" w:rsidP="006A0770">
      <w:pPr>
        <w:pStyle w:val="ListParagraph"/>
        <w:numPr>
          <w:ilvl w:val="0"/>
          <w:numId w:val="14"/>
        </w:numPr>
      </w:pPr>
      <w:r>
        <w:t xml:space="preserve">Congestion impacting a given </w:t>
      </w:r>
      <w:r w:rsidRPr="006A0770">
        <w:rPr>
          <w:b/>
        </w:rPr>
        <w:t>Routing ID</w:t>
      </w:r>
      <w:r>
        <w:t xml:space="preserve"> equally impacts all the Routing IDs sharing the same BH RLC channel.</w:t>
      </w:r>
    </w:p>
    <w:p w14:paraId="36C38096" w14:textId="1159ACD6" w:rsidR="006A0770" w:rsidRDefault="006A0770" w:rsidP="006A0770">
      <w:pPr>
        <w:ind w:left="1704" w:hanging="1424"/>
      </w:pPr>
      <w:r w:rsidRPr="00ED36FD">
        <w:rPr>
          <w:b/>
        </w:rPr>
        <w:t xml:space="preserve">Observation </w:t>
      </w:r>
      <w:r>
        <w:rPr>
          <w:b/>
        </w:rPr>
        <w:t>2</w:t>
      </w:r>
      <w:r>
        <w:t>:</w:t>
      </w:r>
      <w:r>
        <w:tab/>
        <w:t xml:space="preserve">On a given </w:t>
      </w:r>
      <w:r w:rsidRPr="006A0770">
        <w:t>child link</w:t>
      </w:r>
      <w:r>
        <w:t>, some BH RLC channels can be congested while others are not.</w:t>
      </w:r>
    </w:p>
    <w:p w14:paraId="0528BBE9" w14:textId="7072FC0D" w:rsidR="006A0770" w:rsidRDefault="006A0770" w:rsidP="006A0770">
      <w:pPr>
        <w:ind w:left="1704" w:hanging="1424"/>
      </w:pPr>
      <w:r w:rsidRPr="00ED36FD">
        <w:rPr>
          <w:b/>
        </w:rPr>
        <w:t xml:space="preserve">Observation </w:t>
      </w:r>
      <w:r>
        <w:rPr>
          <w:b/>
        </w:rPr>
        <w:t>3</w:t>
      </w:r>
      <w:r>
        <w:t>:</w:t>
      </w:r>
      <w:r>
        <w:tab/>
        <w:t xml:space="preserve">Congestion impacting a given </w:t>
      </w:r>
      <w:r w:rsidRPr="006A0770">
        <w:t>Routing ID</w:t>
      </w:r>
      <w:r>
        <w:t xml:space="preserve"> equally impacts all the Routing IDs sharing the same BH RLC channel.</w:t>
      </w:r>
    </w:p>
    <w:p w14:paraId="74DAEFA5" w14:textId="5B333C35" w:rsidR="00ED36FD" w:rsidRDefault="006A0770" w:rsidP="00ED36FD">
      <w:r>
        <w:t xml:space="preserve">We therefore propose that the reporting is </w:t>
      </w:r>
      <w:r w:rsidR="00F8103B">
        <w:t xml:space="preserve">only </w:t>
      </w:r>
      <w:r>
        <w:t>per BH RLC channel.</w:t>
      </w:r>
    </w:p>
    <w:p w14:paraId="54B5AB70" w14:textId="1AD80C07" w:rsidR="006A0770" w:rsidRDefault="006A0770" w:rsidP="006A0770">
      <w:pPr>
        <w:ind w:left="1704" w:hanging="1419"/>
      </w:pPr>
      <w:r>
        <w:rPr>
          <w:b/>
        </w:rPr>
        <w:t xml:space="preserve">Proposal </w:t>
      </w:r>
      <w:r w:rsidR="00116E55">
        <w:rPr>
          <w:b/>
        </w:rPr>
        <w:t>1</w:t>
      </w:r>
      <w:r>
        <w:t>:</w:t>
      </w:r>
      <w:r>
        <w:tab/>
      </w:r>
      <w:r w:rsidRPr="006A0770">
        <w:t>The CP-based congestion indication</w:t>
      </w:r>
      <w:r>
        <w:t xml:space="preserve"> is </w:t>
      </w:r>
      <w:r w:rsidR="00D40FAD">
        <w:t xml:space="preserve">only </w:t>
      </w:r>
      <w:r>
        <w:t>reported per BH RLC channel.</w:t>
      </w:r>
    </w:p>
    <w:p w14:paraId="0340BB4B" w14:textId="7A7AABE3" w:rsidR="00D40FAD" w:rsidRDefault="00D40FAD" w:rsidP="00ED36FD">
      <w:r>
        <w:t xml:space="preserve">As a minimum, we propose that an IAB node is not required to support reporting per Routing ID, because maintaining </w:t>
      </w:r>
      <w:r w:rsidR="00F8103B">
        <w:t>transmit buffers</w:t>
      </w:r>
      <w:r>
        <w:t xml:space="preserve"> per Routing ID is not something that would be needed in any case.</w:t>
      </w:r>
    </w:p>
    <w:p w14:paraId="593EA7E2" w14:textId="5B3836B4" w:rsidR="00AB68B0" w:rsidRDefault="00AB68B0" w:rsidP="00AB68B0">
      <w:pPr>
        <w:ind w:left="1704" w:hanging="1424"/>
      </w:pPr>
      <w:r w:rsidRPr="00ED36FD">
        <w:rPr>
          <w:b/>
        </w:rPr>
        <w:lastRenderedPageBreak/>
        <w:t xml:space="preserve">Observation </w:t>
      </w:r>
      <w:r>
        <w:rPr>
          <w:b/>
        </w:rPr>
        <w:t>4</w:t>
      </w:r>
      <w:r>
        <w:t>:</w:t>
      </w:r>
      <w:r>
        <w:tab/>
        <w:t>Maintaining transmit buffers per Routing ID would be a new requirement from an IAB node.</w:t>
      </w:r>
    </w:p>
    <w:p w14:paraId="7A2B7A73" w14:textId="35E296C0" w:rsidR="00D40FAD" w:rsidRDefault="00D40FAD" w:rsidP="00F8103B">
      <w:pPr>
        <w:ind w:left="1704" w:hanging="1424"/>
      </w:pPr>
      <w:r w:rsidRPr="00D40FAD">
        <w:rPr>
          <w:b/>
        </w:rPr>
        <w:t xml:space="preserve">Proposal </w:t>
      </w:r>
      <w:r w:rsidR="00116E55">
        <w:rPr>
          <w:b/>
        </w:rPr>
        <w:t>2</w:t>
      </w:r>
      <w:r>
        <w:t>:</w:t>
      </w:r>
      <w:r>
        <w:tab/>
      </w:r>
      <w:r w:rsidR="00C22BA3">
        <w:t>R</w:t>
      </w:r>
      <w:r w:rsidR="00A40B68">
        <w:t xml:space="preserve">eporting </w:t>
      </w:r>
      <w:r w:rsidR="00BD71EC">
        <w:t>t</w:t>
      </w:r>
      <w:r w:rsidR="00F8103B">
        <w:t>he</w:t>
      </w:r>
      <w:r>
        <w:t xml:space="preserve"> </w:t>
      </w:r>
      <w:r w:rsidR="00F8103B" w:rsidRPr="006A0770">
        <w:t>CP-based congestion indication</w:t>
      </w:r>
      <w:r w:rsidR="00F8103B">
        <w:t xml:space="preserve"> per BAP Routing ID </w:t>
      </w:r>
      <w:r w:rsidR="00AB68B0">
        <w:t>is not required from an IAB node</w:t>
      </w:r>
      <w:r w:rsidR="00F8103B">
        <w:t>.</w:t>
      </w:r>
    </w:p>
    <w:p w14:paraId="7A2CE994" w14:textId="637F2140" w:rsidR="000D6420" w:rsidRPr="00E86760" w:rsidRDefault="000D6420" w:rsidP="000D6420">
      <w:pPr>
        <w:pStyle w:val="Heading2"/>
      </w:pPr>
      <w:r>
        <w:t>2</w:t>
      </w:r>
      <w:r w:rsidRPr="006E13D1">
        <w:t>.</w:t>
      </w:r>
      <w:r w:rsidR="00572351">
        <w:t>2</w:t>
      </w:r>
      <w:r w:rsidRPr="006E13D1">
        <w:tab/>
      </w:r>
      <w:r w:rsidRPr="00E86760">
        <w:t>U-plane-based congestion mitigation</w:t>
      </w:r>
    </w:p>
    <w:p w14:paraId="2809CF4C" w14:textId="77777777" w:rsidR="000D6420" w:rsidRDefault="000D6420" w:rsidP="000D6420">
      <w:r w:rsidRPr="00997F5E">
        <w:t>Packet marking</w:t>
      </w:r>
      <w:r>
        <w:t xml:space="preserve"> would involve multiple protocols, i.e. the marking would take place at BAP and reporting of marked packets over NR-UP. Hence it would involve not only RAN3 but also RAN2 who have discussed the solution before but did not end up favouring it. It also seems to be the least clear option when it comes to details. For the reporting to be meaningful to CU-UP, RAN2 and/or RAN3 would need to specify the exact definition and measurement of delay at an IAB node, and based on this definition, triggers for packet marking.</w:t>
      </w:r>
    </w:p>
    <w:p w14:paraId="1B626C41" w14:textId="656E3639" w:rsidR="000D6420" w:rsidRDefault="000D6420" w:rsidP="000D6420">
      <w:pPr>
        <w:ind w:left="1704" w:hanging="1419"/>
      </w:pPr>
      <w:r>
        <w:rPr>
          <w:b/>
        </w:rPr>
        <w:t xml:space="preserve">Proposal </w:t>
      </w:r>
      <w:r w:rsidR="00116E55">
        <w:rPr>
          <w:b/>
        </w:rPr>
        <w:t>3</w:t>
      </w:r>
      <w:r>
        <w:t>:</w:t>
      </w:r>
      <w:r>
        <w:tab/>
        <w:t xml:space="preserve">No enhancements are introduced to UP-based congestion mitigation. </w:t>
      </w:r>
    </w:p>
    <w:p w14:paraId="65188ED8" w14:textId="77777777" w:rsidR="000D6420" w:rsidRPr="00E86760" w:rsidRDefault="000D6420" w:rsidP="000D6420"/>
    <w:p w14:paraId="5FF2457F" w14:textId="76280989" w:rsidR="00A209D6" w:rsidRPr="006E13D1" w:rsidRDefault="005524DF" w:rsidP="00A209D6">
      <w:pPr>
        <w:pStyle w:val="Heading1"/>
      </w:pPr>
      <w:r>
        <w:t>3</w:t>
      </w:r>
      <w:r w:rsidR="00A209D6" w:rsidRPr="006E13D1">
        <w:tab/>
      </w:r>
      <w:r w:rsidR="008C3057">
        <w:t>Conclusion</w:t>
      </w:r>
    </w:p>
    <w:p w14:paraId="6C60FFDC" w14:textId="063C407B" w:rsidR="00A209D6" w:rsidRDefault="006E31D2" w:rsidP="00A209D6">
      <w:r w:rsidRPr="00391DE2">
        <w:t>This contribution discussed U-plane-based and C-plane-based congestion mitigation and concluded with the following.</w:t>
      </w:r>
    </w:p>
    <w:p w14:paraId="1DF28951" w14:textId="77777777" w:rsidR="0082152D" w:rsidRDefault="0082152D" w:rsidP="0082152D">
      <w:pPr>
        <w:ind w:left="1704" w:hanging="1424"/>
      </w:pPr>
      <w:r w:rsidRPr="00ED36FD">
        <w:rPr>
          <w:b/>
        </w:rPr>
        <w:t>Observation 1</w:t>
      </w:r>
      <w:r>
        <w:t>:</w:t>
      </w:r>
      <w:r>
        <w:tab/>
        <w:t>The case of congestion addressed by CP-based congestion mitigation is one where meeting the QoS requirements (e.g. GBR or delay) set to a BH RLC channel are at risk.</w:t>
      </w:r>
    </w:p>
    <w:p w14:paraId="78A0AED8" w14:textId="77777777" w:rsidR="0082152D" w:rsidRDefault="0082152D" w:rsidP="0082152D">
      <w:pPr>
        <w:ind w:left="1704" w:hanging="1424"/>
      </w:pPr>
      <w:r w:rsidRPr="00ED36FD">
        <w:rPr>
          <w:b/>
        </w:rPr>
        <w:t xml:space="preserve">Observation </w:t>
      </w:r>
      <w:r>
        <w:rPr>
          <w:b/>
        </w:rPr>
        <w:t>2</w:t>
      </w:r>
      <w:r>
        <w:t>:</w:t>
      </w:r>
      <w:r>
        <w:tab/>
        <w:t xml:space="preserve">On a given </w:t>
      </w:r>
      <w:r w:rsidRPr="006A0770">
        <w:t>child link</w:t>
      </w:r>
      <w:r>
        <w:t>, some BH RLC channels can be congested while others are not.</w:t>
      </w:r>
    </w:p>
    <w:p w14:paraId="47608BFB" w14:textId="77777777" w:rsidR="0082152D" w:rsidRDefault="0082152D" w:rsidP="0082152D">
      <w:pPr>
        <w:ind w:left="1704" w:hanging="1424"/>
      </w:pPr>
      <w:r w:rsidRPr="00ED36FD">
        <w:rPr>
          <w:b/>
        </w:rPr>
        <w:t xml:space="preserve">Observation </w:t>
      </w:r>
      <w:r>
        <w:rPr>
          <w:b/>
        </w:rPr>
        <w:t>3</w:t>
      </w:r>
      <w:r>
        <w:t>:</w:t>
      </w:r>
      <w:r>
        <w:tab/>
        <w:t xml:space="preserve">Congestion impacting a given </w:t>
      </w:r>
      <w:r w:rsidRPr="006A0770">
        <w:t>Routing ID</w:t>
      </w:r>
      <w:r>
        <w:t xml:space="preserve"> equally impacts all the Routing IDs sharing the same BH RLC channel.</w:t>
      </w:r>
    </w:p>
    <w:p w14:paraId="7D14DDA3" w14:textId="7C5B7A1A" w:rsidR="0082152D" w:rsidRDefault="0082152D" w:rsidP="0082152D">
      <w:pPr>
        <w:ind w:left="1704" w:hanging="1424"/>
      </w:pPr>
      <w:r w:rsidRPr="00ED36FD">
        <w:rPr>
          <w:b/>
        </w:rPr>
        <w:t xml:space="preserve">Observation </w:t>
      </w:r>
      <w:r>
        <w:rPr>
          <w:b/>
        </w:rPr>
        <w:t>4</w:t>
      </w:r>
      <w:r>
        <w:t>:</w:t>
      </w:r>
      <w:r>
        <w:tab/>
        <w:t>Maintaining transmit buffers per Routing ID would be a new requirement from an IAB node.</w:t>
      </w:r>
    </w:p>
    <w:p w14:paraId="5C6844E9" w14:textId="77777777" w:rsidR="00913138" w:rsidRDefault="00913138" w:rsidP="0082152D">
      <w:pPr>
        <w:ind w:left="1704" w:hanging="1424"/>
      </w:pPr>
      <w:bookmarkStart w:id="0" w:name="_GoBack"/>
      <w:bookmarkEnd w:id="0"/>
    </w:p>
    <w:p w14:paraId="36021F1E" w14:textId="77777777" w:rsidR="008A6ABB" w:rsidRDefault="008A6ABB" w:rsidP="008A6ABB">
      <w:pPr>
        <w:ind w:left="1704" w:hanging="1419"/>
      </w:pPr>
      <w:r>
        <w:rPr>
          <w:b/>
        </w:rPr>
        <w:t>Proposal 1</w:t>
      </w:r>
      <w:r>
        <w:t>:</w:t>
      </w:r>
      <w:r>
        <w:tab/>
      </w:r>
      <w:r w:rsidRPr="006A0770">
        <w:t>The CP-based congestion indication</w:t>
      </w:r>
      <w:r>
        <w:t xml:space="preserve"> is only reported per BH RLC channel.</w:t>
      </w:r>
    </w:p>
    <w:p w14:paraId="7655A63A" w14:textId="77777777" w:rsidR="00594178" w:rsidRDefault="00594178" w:rsidP="00594178">
      <w:pPr>
        <w:ind w:left="1704" w:hanging="1424"/>
      </w:pPr>
      <w:r w:rsidRPr="00D40FAD">
        <w:rPr>
          <w:b/>
        </w:rPr>
        <w:t xml:space="preserve">Proposal </w:t>
      </w:r>
      <w:r>
        <w:rPr>
          <w:b/>
        </w:rPr>
        <w:t>2</w:t>
      </w:r>
      <w:r>
        <w:t>:</w:t>
      </w:r>
      <w:r>
        <w:tab/>
        <w:t xml:space="preserve">Reporting the </w:t>
      </w:r>
      <w:r w:rsidRPr="006A0770">
        <w:t>CP-based congestion indication</w:t>
      </w:r>
      <w:r>
        <w:t xml:space="preserve"> per BAP Routing ID is not required from an IAB node.</w:t>
      </w:r>
    </w:p>
    <w:p w14:paraId="037D0C6A" w14:textId="77777777" w:rsidR="008A6ABB" w:rsidRDefault="008A6ABB" w:rsidP="008A6ABB">
      <w:pPr>
        <w:ind w:left="1704" w:hanging="1419"/>
      </w:pPr>
      <w:r>
        <w:rPr>
          <w:b/>
        </w:rPr>
        <w:t>Proposal 3</w:t>
      </w:r>
      <w:r>
        <w:t>:</w:t>
      </w:r>
      <w:r>
        <w:tab/>
        <w:t xml:space="preserve">No enhancements are introduced to UP-based congestion mitigation. </w:t>
      </w:r>
    </w:p>
    <w:p w14:paraId="3FA3E598" w14:textId="77777777" w:rsidR="00C66544" w:rsidRDefault="00C66544" w:rsidP="00C66544">
      <w:pPr>
        <w:pStyle w:val="Heading1"/>
        <w:tabs>
          <w:tab w:val="num" w:pos="432"/>
        </w:tabs>
        <w:overflowPunct w:val="0"/>
        <w:autoSpaceDE w:val="0"/>
        <w:autoSpaceDN w:val="0"/>
        <w:adjustRightInd w:val="0"/>
        <w:ind w:left="432" w:hanging="432"/>
        <w:textAlignment w:val="baseline"/>
      </w:pPr>
      <w:r>
        <w:t>References</w:t>
      </w:r>
    </w:p>
    <w:p w14:paraId="648B11AA" w14:textId="77777777" w:rsidR="009B5F66" w:rsidRDefault="009B5F66" w:rsidP="00C66544">
      <w:pPr>
        <w:numPr>
          <w:ilvl w:val="0"/>
          <w:numId w:val="15"/>
        </w:numPr>
        <w:overflowPunct w:val="0"/>
        <w:autoSpaceDE w:val="0"/>
        <w:autoSpaceDN w:val="0"/>
        <w:adjustRightInd w:val="0"/>
        <w:textAlignment w:val="baseline"/>
      </w:pPr>
      <w:r w:rsidRPr="009B5F66">
        <w:t xml:space="preserve">R3-207100, Summary of Offline Discussion on IAB Congestion Mitigation </w:t>
      </w:r>
    </w:p>
    <w:p w14:paraId="1A785844" w14:textId="77777777" w:rsidR="00DB5F3A" w:rsidRPr="001B4641" w:rsidRDefault="00DB5F3A" w:rsidP="00DB5F3A">
      <w:pPr>
        <w:ind w:left="357"/>
      </w:pPr>
    </w:p>
    <w:p w14:paraId="7D1AB051" w14:textId="77777777" w:rsidR="0049553E" w:rsidRPr="006E13D1" w:rsidRDefault="0049553E" w:rsidP="00A209D6"/>
    <w:p w14:paraId="60449C3F" w14:textId="77777777" w:rsidR="00A209D6" w:rsidRPr="006E13D1" w:rsidRDefault="00A209D6" w:rsidP="00A209D6"/>
    <w:p w14:paraId="432B0A82" w14:textId="77777777" w:rsidR="00A209D6"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12846" w14:textId="77777777" w:rsidR="003C29CD" w:rsidRDefault="003C29CD">
      <w:r>
        <w:separator/>
      </w:r>
    </w:p>
  </w:endnote>
  <w:endnote w:type="continuationSeparator" w:id="0">
    <w:p w14:paraId="5082D3AF" w14:textId="77777777" w:rsidR="003C29CD" w:rsidRDefault="003C29CD">
      <w:r>
        <w:continuationSeparator/>
      </w:r>
    </w:p>
  </w:endnote>
  <w:endnote w:type="continuationNotice" w:id="1">
    <w:p w14:paraId="7EAAC5A9" w14:textId="77777777" w:rsidR="003C29CD" w:rsidRDefault="003C2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2675B" w14:textId="77777777" w:rsidR="003C29CD" w:rsidRDefault="003C29CD">
      <w:r>
        <w:separator/>
      </w:r>
    </w:p>
  </w:footnote>
  <w:footnote w:type="continuationSeparator" w:id="0">
    <w:p w14:paraId="01392AFA" w14:textId="77777777" w:rsidR="003C29CD" w:rsidRDefault="003C29CD">
      <w:r>
        <w:continuationSeparator/>
      </w:r>
    </w:p>
  </w:footnote>
  <w:footnote w:type="continuationNotice" w:id="1">
    <w:p w14:paraId="6CD663C6" w14:textId="77777777" w:rsidR="003C29CD" w:rsidRDefault="003C2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B331F33"/>
    <w:multiLevelType w:val="hybridMultilevel"/>
    <w:tmpl w:val="2E1EA17E"/>
    <w:lvl w:ilvl="0" w:tplc="3B3A845C">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83854"/>
    <w:multiLevelType w:val="hybridMultilevel"/>
    <w:tmpl w:val="6DD63D48"/>
    <w:lvl w:ilvl="0" w:tplc="3312C1DA">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pStyle w:val="Reference"/>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76223B"/>
    <w:multiLevelType w:val="hybridMultilevel"/>
    <w:tmpl w:val="A26A6C9A"/>
    <w:lvl w:ilvl="0" w:tplc="17BE46D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D435891"/>
    <w:multiLevelType w:val="hybridMultilevel"/>
    <w:tmpl w:val="4D435891"/>
    <w:lvl w:ilvl="0" w:tplc="B18A8C0E">
      <w:start w:val="1"/>
      <w:numFmt w:val="decimal"/>
      <w:lvlText w:val="[%1]"/>
      <w:lvlJc w:val="left"/>
      <w:pPr>
        <w:tabs>
          <w:tab w:val="num" w:pos="567"/>
        </w:tabs>
        <w:ind w:left="567" w:hanging="567"/>
      </w:pPr>
      <w:rPr>
        <w:rFonts w:hint="default"/>
      </w:rPr>
    </w:lvl>
    <w:lvl w:ilvl="1" w:tplc="8ECA6BC0">
      <w:start w:val="1"/>
      <w:numFmt w:val="lowerLetter"/>
      <w:lvlText w:val="%2."/>
      <w:lvlJc w:val="left"/>
      <w:pPr>
        <w:tabs>
          <w:tab w:val="num" w:pos="1440"/>
        </w:tabs>
        <w:ind w:left="1440" w:hanging="360"/>
      </w:pPr>
    </w:lvl>
    <w:lvl w:ilvl="2" w:tplc="270693F2">
      <w:start w:val="1"/>
      <w:numFmt w:val="lowerRoman"/>
      <w:lvlText w:val="%3."/>
      <w:lvlJc w:val="right"/>
      <w:pPr>
        <w:tabs>
          <w:tab w:val="num" w:pos="2160"/>
        </w:tabs>
        <w:ind w:left="2160" w:hanging="180"/>
      </w:pPr>
    </w:lvl>
    <w:lvl w:ilvl="3" w:tplc="456CCF7A">
      <w:start w:val="1"/>
      <w:numFmt w:val="decimal"/>
      <w:lvlText w:val="%4."/>
      <w:lvlJc w:val="left"/>
      <w:pPr>
        <w:tabs>
          <w:tab w:val="num" w:pos="2880"/>
        </w:tabs>
        <w:ind w:left="2880" w:hanging="360"/>
      </w:pPr>
    </w:lvl>
    <w:lvl w:ilvl="4" w:tplc="36F6EB2C">
      <w:start w:val="1"/>
      <w:numFmt w:val="lowerLetter"/>
      <w:lvlText w:val="%5."/>
      <w:lvlJc w:val="left"/>
      <w:pPr>
        <w:tabs>
          <w:tab w:val="num" w:pos="3600"/>
        </w:tabs>
        <w:ind w:left="3600" w:hanging="360"/>
      </w:pPr>
    </w:lvl>
    <w:lvl w:ilvl="5" w:tplc="8D1E27A0">
      <w:start w:val="1"/>
      <w:numFmt w:val="lowerRoman"/>
      <w:lvlText w:val="%6."/>
      <w:lvlJc w:val="right"/>
      <w:pPr>
        <w:tabs>
          <w:tab w:val="num" w:pos="4320"/>
        </w:tabs>
        <w:ind w:left="4320" w:hanging="180"/>
      </w:pPr>
    </w:lvl>
    <w:lvl w:ilvl="6" w:tplc="822C4518">
      <w:start w:val="1"/>
      <w:numFmt w:val="decimal"/>
      <w:lvlText w:val="%7."/>
      <w:lvlJc w:val="left"/>
      <w:pPr>
        <w:tabs>
          <w:tab w:val="num" w:pos="5040"/>
        </w:tabs>
        <w:ind w:left="5040" w:hanging="360"/>
      </w:pPr>
    </w:lvl>
    <w:lvl w:ilvl="7" w:tplc="1B90D0C2">
      <w:start w:val="1"/>
      <w:numFmt w:val="lowerLetter"/>
      <w:lvlText w:val="%8."/>
      <w:lvlJc w:val="left"/>
      <w:pPr>
        <w:tabs>
          <w:tab w:val="num" w:pos="5760"/>
        </w:tabs>
        <w:ind w:left="5760" w:hanging="360"/>
      </w:pPr>
    </w:lvl>
    <w:lvl w:ilvl="8" w:tplc="29A4C8A4">
      <w:start w:val="1"/>
      <w:numFmt w:val="lowerRoman"/>
      <w:lvlText w:val="%9."/>
      <w:lvlJc w:val="right"/>
      <w:pPr>
        <w:tabs>
          <w:tab w:val="num" w:pos="6480"/>
        </w:tabs>
        <w:ind w:left="6480" w:hanging="180"/>
      </w:pPr>
    </w:lvl>
  </w:abstractNum>
  <w:abstractNum w:abstractNumId="11" w15:restartNumberingAfterBreak="0">
    <w:nsid w:val="57B21A72"/>
    <w:multiLevelType w:val="hybridMultilevel"/>
    <w:tmpl w:val="165E630A"/>
    <w:lvl w:ilvl="0" w:tplc="97D42B64">
      <w:start w:val="1"/>
      <w:numFmt w:val="bullet"/>
      <w:lvlText w:val="-"/>
      <w:lvlJc w:val="left"/>
      <w:pPr>
        <w:ind w:left="645" w:hanging="360"/>
      </w:pPr>
      <w:rPr>
        <w:rFonts w:ascii="Times New Roman" w:eastAsia="Times New Roman"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2" w15:restartNumberingAfterBreak="0">
    <w:nsid w:val="5ACA3B10"/>
    <w:multiLevelType w:val="hybridMultilevel"/>
    <w:tmpl w:val="86887360"/>
    <w:lvl w:ilvl="0" w:tplc="387099B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BED2125"/>
    <w:multiLevelType w:val="hybridMultilevel"/>
    <w:tmpl w:val="54F4906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7"/>
  </w:num>
  <w:num w:numId="9">
    <w:abstractNumId w:val="11"/>
  </w:num>
  <w:num w:numId="10">
    <w:abstractNumId w:val="4"/>
  </w:num>
  <w:num w:numId="11">
    <w:abstractNumId w:val="3"/>
  </w:num>
  <w:num w:numId="12">
    <w:abstractNumId w:val="10"/>
  </w:num>
  <w:num w:numId="13">
    <w:abstractNumId w:val="13"/>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9C"/>
    <w:rsid w:val="00014062"/>
    <w:rsid w:val="00016557"/>
    <w:rsid w:val="00023C40"/>
    <w:rsid w:val="00033397"/>
    <w:rsid w:val="0003412B"/>
    <w:rsid w:val="00040095"/>
    <w:rsid w:val="00052A7F"/>
    <w:rsid w:val="00060384"/>
    <w:rsid w:val="0006724E"/>
    <w:rsid w:val="00072F24"/>
    <w:rsid w:val="00073C9C"/>
    <w:rsid w:val="00080512"/>
    <w:rsid w:val="00084F3A"/>
    <w:rsid w:val="00090468"/>
    <w:rsid w:val="00094568"/>
    <w:rsid w:val="000B7BCF"/>
    <w:rsid w:val="000C3EEC"/>
    <w:rsid w:val="000C522B"/>
    <w:rsid w:val="000D58AB"/>
    <w:rsid w:val="000D6420"/>
    <w:rsid w:val="000F1AF7"/>
    <w:rsid w:val="000F26E2"/>
    <w:rsid w:val="00110C3E"/>
    <w:rsid w:val="00112F1A"/>
    <w:rsid w:val="00116E55"/>
    <w:rsid w:val="0012031B"/>
    <w:rsid w:val="00145075"/>
    <w:rsid w:val="001555B8"/>
    <w:rsid w:val="001741A0"/>
    <w:rsid w:val="00175FA0"/>
    <w:rsid w:val="00194CD0"/>
    <w:rsid w:val="001B49C9"/>
    <w:rsid w:val="001B62DB"/>
    <w:rsid w:val="001B743D"/>
    <w:rsid w:val="001C23F4"/>
    <w:rsid w:val="001C4F79"/>
    <w:rsid w:val="001F13B8"/>
    <w:rsid w:val="001F168B"/>
    <w:rsid w:val="001F7831"/>
    <w:rsid w:val="00204045"/>
    <w:rsid w:val="0020712B"/>
    <w:rsid w:val="00214DD0"/>
    <w:rsid w:val="0022606D"/>
    <w:rsid w:val="00231728"/>
    <w:rsid w:val="00236469"/>
    <w:rsid w:val="00250404"/>
    <w:rsid w:val="002610D8"/>
    <w:rsid w:val="00264087"/>
    <w:rsid w:val="002747EC"/>
    <w:rsid w:val="002855BF"/>
    <w:rsid w:val="00292627"/>
    <w:rsid w:val="00293121"/>
    <w:rsid w:val="002B468D"/>
    <w:rsid w:val="002C693F"/>
    <w:rsid w:val="002D2344"/>
    <w:rsid w:val="002D2D48"/>
    <w:rsid w:val="002F0D22"/>
    <w:rsid w:val="00311B17"/>
    <w:rsid w:val="003172DC"/>
    <w:rsid w:val="00321AD6"/>
    <w:rsid w:val="0032290C"/>
    <w:rsid w:val="00325AE3"/>
    <w:rsid w:val="00326069"/>
    <w:rsid w:val="0034550F"/>
    <w:rsid w:val="0035462D"/>
    <w:rsid w:val="00357538"/>
    <w:rsid w:val="00364B41"/>
    <w:rsid w:val="0037403E"/>
    <w:rsid w:val="00383096"/>
    <w:rsid w:val="00386912"/>
    <w:rsid w:val="00391DE2"/>
    <w:rsid w:val="003923EA"/>
    <w:rsid w:val="003A41EF"/>
    <w:rsid w:val="003B14C0"/>
    <w:rsid w:val="003B40AD"/>
    <w:rsid w:val="003B67B6"/>
    <w:rsid w:val="003B731F"/>
    <w:rsid w:val="003B7663"/>
    <w:rsid w:val="003C29CD"/>
    <w:rsid w:val="003C4E37"/>
    <w:rsid w:val="003C53F7"/>
    <w:rsid w:val="003E16BE"/>
    <w:rsid w:val="003E3DB0"/>
    <w:rsid w:val="003E6109"/>
    <w:rsid w:val="003F4E28"/>
    <w:rsid w:val="004006E8"/>
    <w:rsid w:val="00401855"/>
    <w:rsid w:val="004075A2"/>
    <w:rsid w:val="004145B2"/>
    <w:rsid w:val="004402A7"/>
    <w:rsid w:val="00446FEB"/>
    <w:rsid w:val="00465587"/>
    <w:rsid w:val="004709CE"/>
    <w:rsid w:val="00477455"/>
    <w:rsid w:val="00487F77"/>
    <w:rsid w:val="0049553E"/>
    <w:rsid w:val="004A1F7B"/>
    <w:rsid w:val="004A772C"/>
    <w:rsid w:val="004C44D2"/>
    <w:rsid w:val="004D3578"/>
    <w:rsid w:val="004D380D"/>
    <w:rsid w:val="004E1FE0"/>
    <w:rsid w:val="004E213A"/>
    <w:rsid w:val="004E58FD"/>
    <w:rsid w:val="00503171"/>
    <w:rsid w:val="00506C28"/>
    <w:rsid w:val="00521C10"/>
    <w:rsid w:val="00534DA0"/>
    <w:rsid w:val="005407BF"/>
    <w:rsid w:val="00543E6C"/>
    <w:rsid w:val="00544463"/>
    <w:rsid w:val="005524DF"/>
    <w:rsid w:val="005648D7"/>
    <w:rsid w:val="00565087"/>
    <w:rsid w:val="0056573F"/>
    <w:rsid w:val="00572351"/>
    <w:rsid w:val="005848DA"/>
    <w:rsid w:val="00594178"/>
    <w:rsid w:val="005A6A7F"/>
    <w:rsid w:val="005C263E"/>
    <w:rsid w:val="005C713F"/>
    <w:rsid w:val="005D0911"/>
    <w:rsid w:val="005D69FF"/>
    <w:rsid w:val="005E421D"/>
    <w:rsid w:val="00611566"/>
    <w:rsid w:val="00611694"/>
    <w:rsid w:val="00614D18"/>
    <w:rsid w:val="00635FA9"/>
    <w:rsid w:val="00640849"/>
    <w:rsid w:val="00645591"/>
    <w:rsid w:val="00646D99"/>
    <w:rsid w:val="00656910"/>
    <w:rsid w:val="006574C0"/>
    <w:rsid w:val="006730FB"/>
    <w:rsid w:val="00697742"/>
    <w:rsid w:val="006A0770"/>
    <w:rsid w:val="006A13C1"/>
    <w:rsid w:val="006A1CC1"/>
    <w:rsid w:val="006B3EB3"/>
    <w:rsid w:val="006B44FD"/>
    <w:rsid w:val="006C0311"/>
    <w:rsid w:val="006C66D8"/>
    <w:rsid w:val="006D1E24"/>
    <w:rsid w:val="006D6083"/>
    <w:rsid w:val="006D6D61"/>
    <w:rsid w:val="006E1417"/>
    <w:rsid w:val="006E17CD"/>
    <w:rsid w:val="006E1D90"/>
    <w:rsid w:val="006E31D2"/>
    <w:rsid w:val="006F6A2C"/>
    <w:rsid w:val="007069DC"/>
    <w:rsid w:val="00710201"/>
    <w:rsid w:val="0072073A"/>
    <w:rsid w:val="007342B5"/>
    <w:rsid w:val="00734A5B"/>
    <w:rsid w:val="00742E73"/>
    <w:rsid w:val="00744E76"/>
    <w:rsid w:val="00753E74"/>
    <w:rsid w:val="00757D40"/>
    <w:rsid w:val="00760D91"/>
    <w:rsid w:val="007662B5"/>
    <w:rsid w:val="00781F0F"/>
    <w:rsid w:val="007855E9"/>
    <w:rsid w:val="0078727C"/>
    <w:rsid w:val="0079049D"/>
    <w:rsid w:val="00790F86"/>
    <w:rsid w:val="00793A54"/>
    <w:rsid w:val="00793DC5"/>
    <w:rsid w:val="0079514E"/>
    <w:rsid w:val="007B18D8"/>
    <w:rsid w:val="007C095F"/>
    <w:rsid w:val="007C2DD0"/>
    <w:rsid w:val="007D5919"/>
    <w:rsid w:val="007F2E08"/>
    <w:rsid w:val="008028A4"/>
    <w:rsid w:val="00813245"/>
    <w:rsid w:val="0082152D"/>
    <w:rsid w:val="00830BD7"/>
    <w:rsid w:val="008326CF"/>
    <w:rsid w:val="00840DE0"/>
    <w:rsid w:val="0086354A"/>
    <w:rsid w:val="008768CA"/>
    <w:rsid w:val="00877EF9"/>
    <w:rsid w:val="00880559"/>
    <w:rsid w:val="00880911"/>
    <w:rsid w:val="008812D3"/>
    <w:rsid w:val="008879E7"/>
    <w:rsid w:val="00892A08"/>
    <w:rsid w:val="00899F2B"/>
    <w:rsid w:val="008A6ABB"/>
    <w:rsid w:val="008B4FA5"/>
    <w:rsid w:val="008B5306"/>
    <w:rsid w:val="008B61BE"/>
    <w:rsid w:val="008C2E2A"/>
    <w:rsid w:val="008C3057"/>
    <w:rsid w:val="008D2E4D"/>
    <w:rsid w:val="008F396F"/>
    <w:rsid w:val="008F3DCD"/>
    <w:rsid w:val="0090271F"/>
    <w:rsid w:val="00902DB9"/>
    <w:rsid w:val="0090466A"/>
    <w:rsid w:val="00913138"/>
    <w:rsid w:val="00923655"/>
    <w:rsid w:val="009261A9"/>
    <w:rsid w:val="00927DB8"/>
    <w:rsid w:val="00936071"/>
    <w:rsid w:val="009376CD"/>
    <w:rsid w:val="00940212"/>
    <w:rsid w:val="009420F7"/>
    <w:rsid w:val="00942EC2"/>
    <w:rsid w:val="00961B32"/>
    <w:rsid w:val="00962509"/>
    <w:rsid w:val="00970DB3"/>
    <w:rsid w:val="00974BB0"/>
    <w:rsid w:val="00975BCD"/>
    <w:rsid w:val="00990366"/>
    <w:rsid w:val="00997F5E"/>
    <w:rsid w:val="009A0AF3"/>
    <w:rsid w:val="009B07CD"/>
    <w:rsid w:val="009B5F66"/>
    <w:rsid w:val="009C19E9"/>
    <w:rsid w:val="009D74A6"/>
    <w:rsid w:val="009E4E07"/>
    <w:rsid w:val="009E65FC"/>
    <w:rsid w:val="009E6B44"/>
    <w:rsid w:val="009F7F8C"/>
    <w:rsid w:val="00A10F02"/>
    <w:rsid w:val="00A12EBC"/>
    <w:rsid w:val="00A13868"/>
    <w:rsid w:val="00A204CA"/>
    <w:rsid w:val="00A209D6"/>
    <w:rsid w:val="00A40B68"/>
    <w:rsid w:val="00A4600C"/>
    <w:rsid w:val="00A53516"/>
    <w:rsid w:val="00A53724"/>
    <w:rsid w:val="00A54B2B"/>
    <w:rsid w:val="00A57AEA"/>
    <w:rsid w:val="00A82346"/>
    <w:rsid w:val="00A9671C"/>
    <w:rsid w:val="00AA1553"/>
    <w:rsid w:val="00AA5BF7"/>
    <w:rsid w:val="00AB68B0"/>
    <w:rsid w:val="00AD7D98"/>
    <w:rsid w:val="00B05380"/>
    <w:rsid w:val="00B05962"/>
    <w:rsid w:val="00B15449"/>
    <w:rsid w:val="00B16C2F"/>
    <w:rsid w:val="00B27303"/>
    <w:rsid w:val="00B47FD1"/>
    <w:rsid w:val="00B516BB"/>
    <w:rsid w:val="00B6202C"/>
    <w:rsid w:val="00B84DB2"/>
    <w:rsid w:val="00B93D71"/>
    <w:rsid w:val="00BA3F30"/>
    <w:rsid w:val="00BC3555"/>
    <w:rsid w:val="00BD71EC"/>
    <w:rsid w:val="00C053F1"/>
    <w:rsid w:val="00C07D46"/>
    <w:rsid w:val="00C12B51"/>
    <w:rsid w:val="00C12ECE"/>
    <w:rsid w:val="00C13669"/>
    <w:rsid w:val="00C22BA3"/>
    <w:rsid w:val="00C24650"/>
    <w:rsid w:val="00C25465"/>
    <w:rsid w:val="00C33079"/>
    <w:rsid w:val="00C37BBE"/>
    <w:rsid w:val="00C54B95"/>
    <w:rsid w:val="00C66544"/>
    <w:rsid w:val="00C83A13"/>
    <w:rsid w:val="00C85437"/>
    <w:rsid w:val="00C9068C"/>
    <w:rsid w:val="00C92967"/>
    <w:rsid w:val="00C93D2B"/>
    <w:rsid w:val="00CA29DB"/>
    <w:rsid w:val="00CA3D0C"/>
    <w:rsid w:val="00CA4336"/>
    <w:rsid w:val="00CA654B"/>
    <w:rsid w:val="00CB72B8"/>
    <w:rsid w:val="00CD4C7B"/>
    <w:rsid w:val="00CD58FE"/>
    <w:rsid w:val="00D01EA1"/>
    <w:rsid w:val="00D02FCC"/>
    <w:rsid w:val="00D03D9D"/>
    <w:rsid w:val="00D33BE3"/>
    <w:rsid w:val="00D3792D"/>
    <w:rsid w:val="00D40FAD"/>
    <w:rsid w:val="00D545B4"/>
    <w:rsid w:val="00D55E47"/>
    <w:rsid w:val="00D62E19"/>
    <w:rsid w:val="00D67CD1"/>
    <w:rsid w:val="00D738D6"/>
    <w:rsid w:val="00D80795"/>
    <w:rsid w:val="00D854BE"/>
    <w:rsid w:val="00D87E00"/>
    <w:rsid w:val="00D9134D"/>
    <w:rsid w:val="00D96D11"/>
    <w:rsid w:val="00DA7A03"/>
    <w:rsid w:val="00DB0054"/>
    <w:rsid w:val="00DB0DB8"/>
    <w:rsid w:val="00DB1818"/>
    <w:rsid w:val="00DB5F3A"/>
    <w:rsid w:val="00DC309B"/>
    <w:rsid w:val="00DC4DA2"/>
    <w:rsid w:val="00DC5261"/>
    <w:rsid w:val="00DC784C"/>
    <w:rsid w:val="00DE25D2"/>
    <w:rsid w:val="00DF179D"/>
    <w:rsid w:val="00DF7BC0"/>
    <w:rsid w:val="00E11D33"/>
    <w:rsid w:val="00E17F90"/>
    <w:rsid w:val="00E21922"/>
    <w:rsid w:val="00E420EA"/>
    <w:rsid w:val="00E4683F"/>
    <w:rsid w:val="00E46C08"/>
    <w:rsid w:val="00E471CF"/>
    <w:rsid w:val="00E62835"/>
    <w:rsid w:val="00E72F43"/>
    <w:rsid w:val="00E77645"/>
    <w:rsid w:val="00E83697"/>
    <w:rsid w:val="00E86760"/>
    <w:rsid w:val="00E956A1"/>
    <w:rsid w:val="00E9736F"/>
    <w:rsid w:val="00EA66C9"/>
    <w:rsid w:val="00EC4A25"/>
    <w:rsid w:val="00ED36FD"/>
    <w:rsid w:val="00EE775F"/>
    <w:rsid w:val="00F025A2"/>
    <w:rsid w:val="00F036E9"/>
    <w:rsid w:val="00F07388"/>
    <w:rsid w:val="00F2026E"/>
    <w:rsid w:val="00F2210A"/>
    <w:rsid w:val="00F24C30"/>
    <w:rsid w:val="00F35A4D"/>
    <w:rsid w:val="00F37157"/>
    <w:rsid w:val="00F37743"/>
    <w:rsid w:val="00F45B17"/>
    <w:rsid w:val="00F54A3D"/>
    <w:rsid w:val="00F54CB0"/>
    <w:rsid w:val="00F579CD"/>
    <w:rsid w:val="00F653B8"/>
    <w:rsid w:val="00F71B89"/>
    <w:rsid w:val="00F7353C"/>
    <w:rsid w:val="00F76F8F"/>
    <w:rsid w:val="00F8103B"/>
    <w:rsid w:val="00F87E4E"/>
    <w:rsid w:val="00F941DF"/>
    <w:rsid w:val="00FA1266"/>
    <w:rsid w:val="00FB36FA"/>
    <w:rsid w:val="00FC1192"/>
    <w:rsid w:val="00FE060F"/>
    <w:rsid w:val="00FE251B"/>
    <w:rsid w:val="376585DA"/>
    <w:rsid w:val="3CF91F38"/>
    <w:rsid w:val="4D59376C"/>
    <w:rsid w:val="5410C4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rsid w:val="009E6B44"/>
    <w:rPr>
      <w:lang w:eastAsia="en-US"/>
    </w:rPr>
  </w:style>
  <w:style w:type="paragraph" w:styleId="ListParagraph">
    <w:name w:val="List Paragraph"/>
    <w:basedOn w:val="Normal"/>
    <w:uiPriority w:val="34"/>
    <w:qFormat/>
    <w:rsid w:val="009E6B44"/>
    <w:pPr>
      <w:ind w:left="720"/>
      <w:contextualSpacing/>
    </w:pPr>
  </w:style>
  <w:style w:type="character" w:styleId="CommentReference">
    <w:name w:val="annotation reference"/>
    <w:basedOn w:val="DefaultParagraphFont"/>
    <w:rsid w:val="00635FA9"/>
    <w:rPr>
      <w:sz w:val="16"/>
      <w:szCs w:val="16"/>
    </w:rPr>
  </w:style>
  <w:style w:type="paragraph" w:styleId="CommentText">
    <w:name w:val="annotation text"/>
    <w:basedOn w:val="Normal"/>
    <w:link w:val="CommentTextChar"/>
    <w:rsid w:val="00635FA9"/>
  </w:style>
  <w:style w:type="character" w:customStyle="1" w:styleId="CommentTextChar">
    <w:name w:val="Comment Text Char"/>
    <w:basedOn w:val="DefaultParagraphFont"/>
    <w:link w:val="CommentText"/>
    <w:rsid w:val="00635FA9"/>
    <w:rPr>
      <w:lang w:eastAsia="en-US"/>
    </w:rPr>
  </w:style>
  <w:style w:type="paragraph" w:styleId="CommentSubject">
    <w:name w:val="annotation subject"/>
    <w:basedOn w:val="CommentText"/>
    <w:next w:val="CommentText"/>
    <w:link w:val="CommentSubjectChar"/>
    <w:rsid w:val="00635FA9"/>
    <w:rPr>
      <w:b/>
      <w:bCs/>
    </w:rPr>
  </w:style>
  <w:style w:type="character" w:customStyle="1" w:styleId="CommentSubjectChar">
    <w:name w:val="Comment Subject Char"/>
    <w:basedOn w:val="CommentTextChar"/>
    <w:link w:val="CommentSubject"/>
    <w:rsid w:val="00635FA9"/>
    <w:rPr>
      <w:b/>
      <w:bCs/>
      <w:lang w:eastAsia="en-US"/>
    </w:rPr>
  </w:style>
  <w:style w:type="paragraph" w:styleId="Revision">
    <w:name w:val="Revision"/>
    <w:hidden/>
    <w:uiPriority w:val="99"/>
    <w:semiHidden/>
    <w:rsid w:val="00635FA9"/>
    <w:rPr>
      <w:lang w:eastAsia="en-US"/>
    </w:rPr>
  </w:style>
  <w:style w:type="character" w:styleId="FollowedHyperlink">
    <w:name w:val="FollowedHyperlink"/>
    <w:basedOn w:val="DefaultParagraphFont"/>
    <w:rsid w:val="00A53516"/>
    <w:rPr>
      <w:color w:val="954F72" w:themeColor="followedHyperlink"/>
      <w:u w:val="single"/>
    </w:rPr>
  </w:style>
  <w:style w:type="paragraph" w:customStyle="1" w:styleId="Reference">
    <w:name w:val="Reference"/>
    <w:basedOn w:val="Normal"/>
    <w:rsid w:val="00DB5F3A"/>
    <w:pPr>
      <w:numPr>
        <w:numId w:val="4"/>
      </w:numPr>
      <w:tabs>
        <w:tab w:val="left" w:pos="567"/>
        <w:tab w:val="left" w:pos="1701"/>
      </w:tabs>
      <w:spacing w:after="120"/>
    </w:pPr>
    <w:rPr>
      <w:rFonts w:ascii="Malgun Gothic" w:eastAsia="Malgun Gothic" w:hAnsi="Malgun Gothic" w:cs="Malgun Gothic"/>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179880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2460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5AIRPNAIUNRU-1156379521-2245</_dlc_DocId>
    <_dlc_DocIdUrl xmlns="71c5aaf6-e6ce-465b-b873-5148d2a4c105">
      <Url>https://nokia.sharepoint.com/sites/c5g/e2earch/_layouts/15/DocIdRedir.aspx?ID=5AIRPNAIUNRU-1156379521-2245</Url>
      <Description>5AIRPNAIUNRU-1156379521-2245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66D6A54-59BB-4FE7-A3EF-6CF142637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99</TotalTime>
  <Pages>2</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Xu, Steven 1. (NSB - CN/Beijing)</dc:creator>
  <cp:lastModifiedBy>Xu, Steven 1. (NSB - CN/Beijing)</cp:lastModifiedBy>
  <cp:revision>27</cp:revision>
  <dcterms:created xsi:type="dcterms:W3CDTF">2021-04-29T09:31:00Z</dcterms:created>
  <dcterms:modified xsi:type="dcterms:W3CDTF">2021-05-07T03:36:00Z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0cb6b138-a1de-4f96-8e4c-ac1a62162b77</vt:lpwstr>
  </property>
</Properties>
</file>